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63" w:rsidRPr="00186A2A" w:rsidRDefault="00155263">
      <w:pPr>
        <w:rPr>
          <w:sz w:val="28"/>
          <w:szCs w:val="28"/>
        </w:rPr>
      </w:pPr>
      <w:r w:rsidRPr="00186A2A">
        <w:rPr>
          <w:sz w:val="28"/>
          <w:szCs w:val="28"/>
        </w:rPr>
        <w:t>Metodenotat</w:t>
      </w:r>
      <w:r w:rsidR="00AC2F1F">
        <w:rPr>
          <w:sz w:val="28"/>
          <w:szCs w:val="28"/>
        </w:rPr>
        <w:t xml:space="preserve"> – politisk </w:t>
      </w:r>
      <w:proofErr w:type="spellStart"/>
      <w:r w:rsidR="00AC2F1F">
        <w:rPr>
          <w:sz w:val="28"/>
          <w:szCs w:val="28"/>
        </w:rPr>
        <w:t>index</w:t>
      </w:r>
      <w:proofErr w:type="spellEnd"/>
      <w:r w:rsidR="009779E6">
        <w:rPr>
          <w:sz w:val="28"/>
          <w:szCs w:val="28"/>
        </w:rPr>
        <w:t xml:space="preserve"> - </w:t>
      </w:r>
      <w:r w:rsidR="009C0B3B">
        <w:rPr>
          <w:sz w:val="28"/>
          <w:szCs w:val="28"/>
        </w:rPr>
        <w:t>DECEMBER</w:t>
      </w:r>
    </w:p>
    <w:p w:rsidR="00155263" w:rsidRDefault="00155263">
      <w:r w:rsidRPr="00186A2A">
        <w:rPr>
          <w:b/>
        </w:rPr>
        <w:t>Dataindsamling:</w:t>
      </w:r>
      <w:r>
        <w:t xml:space="preserve"> Foretaget </w:t>
      </w:r>
      <w:r w:rsidR="00CD2ED7">
        <w:t xml:space="preserve">af </w:t>
      </w:r>
      <w:r w:rsidR="00694800">
        <w:t>NORSTAT</w:t>
      </w:r>
      <w:r>
        <w:t xml:space="preserve"> </w:t>
      </w:r>
      <w:r w:rsidR="00694800">
        <w:t xml:space="preserve">i </w:t>
      </w:r>
      <w:r w:rsidR="00694800" w:rsidRPr="00696F92">
        <w:t>perioden</w:t>
      </w:r>
      <w:r w:rsidR="00317984" w:rsidRPr="00C833BC">
        <w:rPr>
          <w:b/>
        </w:rPr>
        <w:t xml:space="preserve"> </w:t>
      </w:r>
      <w:bookmarkStart w:id="0" w:name="_GoBack"/>
      <w:r w:rsidR="009C0B3B">
        <w:rPr>
          <w:b/>
        </w:rPr>
        <w:t>6. – 11</w:t>
      </w:r>
      <w:r w:rsidR="00C833BC" w:rsidRPr="00C833BC">
        <w:rPr>
          <w:b/>
        </w:rPr>
        <w:t xml:space="preserve">. </w:t>
      </w:r>
      <w:r w:rsidR="00673FCF">
        <w:rPr>
          <w:b/>
        </w:rPr>
        <w:t xml:space="preserve">december </w:t>
      </w:r>
      <w:r w:rsidR="00F24141" w:rsidRPr="00C833BC">
        <w:rPr>
          <w:b/>
        </w:rPr>
        <w:t>2018</w:t>
      </w:r>
      <w:bookmarkEnd w:id="0"/>
    </w:p>
    <w:p w:rsidR="00526419" w:rsidRDefault="00A74714">
      <w:r>
        <w:t>Angives med kildean</w:t>
      </w:r>
      <w:r w:rsidR="00526419">
        <w:t>givelse: Dataindsamling foretaget af Norstat Danmark A/S</w:t>
      </w:r>
    </w:p>
    <w:p w:rsidR="00526419" w:rsidRPr="00526419" w:rsidRDefault="00526419">
      <w:r w:rsidRPr="00526419">
        <w:rPr>
          <w:b/>
        </w:rPr>
        <w:t>Spørgsmål:</w:t>
      </w:r>
      <w:r>
        <w:rPr>
          <w:b/>
        </w:rPr>
        <w:t xml:space="preserve"> </w:t>
      </w:r>
      <w:r>
        <w:t>Leveret af Jyllandsposten og Altinget</w:t>
      </w:r>
    </w:p>
    <w:p w:rsidR="00B95964" w:rsidRDefault="00B95964" w:rsidP="00B95964">
      <w:r w:rsidRPr="00186A2A">
        <w:rPr>
          <w:b/>
        </w:rPr>
        <w:t>Sampling:</w:t>
      </w:r>
      <w:r>
        <w:t xml:space="preserve"> Der er indsamlet data ved en kombination af CATI og WEB.</w:t>
      </w:r>
    </w:p>
    <w:p w:rsidR="00B95964" w:rsidRDefault="00B95964" w:rsidP="00B95964">
      <w:r>
        <w:t>WEB : Der sendt ud på Norstats panel. I samplingen er der stratificeret på kønXalderXregion samt uddannelse, svarende til den nationale fordeling blandt befolkningen på 18 år og ældre.</w:t>
      </w:r>
    </w:p>
    <w:p w:rsidR="00B95964" w:rsidRDefault="00B95964" w:rsidP="00B95964">
      <w:r>
        <w:t xml:space="preserve">CATI : Der er samplet på 80/20 mobil/fastnet-fordeling. Ved fastnet-telefon anvendes fødselsdagskriteriet. Samplet er trukket fra Bisnode og er randomiseret. </w:t>
      </w:r>
    </w:p>
    <w:p w:rsidR="00B95964" w:rsidRDefault="00B95964" w:rsidP="00B95964">
      <w:pPr>
        <w:rPr>
          <w:b/>
        </w:rPr>
      </w:pPr>
      <w:r w:rsidRPr="00F443CA">
        <w:rPr>
          <w:b/>
        </w:rPr>
        <w:t>Kvotering:</w:t>
      </w:r>
      <w:r>
        <w:rPr>
          <w:b/>
        </w:rPr>
        <w:t xml:space="preserve"> </w:t>
      </w:r>
    </w:p>
    <w:p w:rsidR="00B95964" w:rsidRPr="00F443CA" w:rsidRDefault="00B95964" w:rsidP="00B95964">
      <w:r w:rsidRPr="00B95964">
        <w:t>WEB</w:t>
      </w:r>
      <w:r>
        <w:t>:</w:t>
      </w:r>
      <w:r w:rsidR="00317984">
        <w:t xml:space="preserve"> Der er sat en totalkvote på </w:t>
      </w:r>
      <w:r w:rsidR="0044031E">
        <w:t>902</w:t>
      </w:r>
      <w:r>
        <w:t xml:space="preserve"> gennemførte interviews</w:t>
      </w:r>
    </w:p>
    <w:p w:rsidR="00B95964" w:rsidRPr="00B95964" w:rsidRDefault="00B95964">
      <w:r w:rsidRPr="00B95964">
        <w:t xml:space="preserve">CATI: </w:t>
      </w:r>
      <w:r>
        <w:t>Der er sat</w:t>
      </w:r>
      <w:r w:rsidR="00626920">
        <w:t xml:space="preserve"> en totalkvote på </w:t>
      </w:r>
      <w:r w:rsidR="00B8062A">
        <w:t>3</w:t>
      </w:r>
      <w:r w:rsidR="0044031E">
        <w:t>02</w:t>
      </w:r>
      <w:r w:rsidR="00626920">
        <w:t xml:space="preserve"> interviews. Derudover er der under</w:t>
      </w:r>
      <w:r>
        <w:t>kvoter på den regionale fordeling samt kønXregion ifht. den nationale fordeling.</w:t>
      </w:r>
    </w:p>
    <w:p w:rsidR="00155263" w:rsidRDefault="00155263">
      <w:r w:rsidRPr="00186A2A">
        <w:rPr>
          <w:b/>
        </w:rPr>
        <w:t>Stikprøve:</w:t>
      </w:r>
      <w:r w:rsidR="00694800">
        <w:t xml:space="preserve"> 1</w:t>
      </w:r>
      <w:r w:rsidR="00C510B8">
        <w:t>2</w:t>
      </w:r>
      <w:r w:rsidR="00C833BC">
        <w:t>19 (315 CATI/904</w:t>
      </w:r>
      <w:r w:rsidR="00B95964">
        <w:t xml:space="preserve"> WEB)</w:t>
      </w:r>
    </w:p>
    <w:p w:rsidR="00155263" w:rsidRDefault="00155263">
      <w:r w:rsidRPr="00186A2A">
        <w:rPr>
          <w:b/>
        </w:rPr>
        <w:t>Vejning:</w:t>
      </w:r>
      <w:r>
        <w:t xml:space="preserve"> Der er foretaget iterativ vejning</w:t>
      </w:r>
      <w:r w:rsidR="00186A2A">
        <w:t xml:space="preserve"> (med min/max 0,333-3,000)</w:t>
      </w:r>
      <w:r>
        <w:t xml:space="preserve"> på nedenstående parametre</w:t>
      </w:r>
      <w:r w:rsidR="00626920">
        <w:t xml:space="preserve"> (Data fra Danmarks statistik)</w:t>
      </w:r>
    </w:p>
    <w:p w:rsidR="00155263" w:rsidRDefault="00155263" w:rsidP="00155263">
      <w:pPr>
        <w:pStyle w:val="ListParagraph"/>
        <w:numPr>
          <w:ilvl w:val="0"/>
          <w:numId w:val="2"/>
        </w:numPr>
      </w:pPr>
      <w:r>
        <w:t>Køn</w:t>
      </w:r>
    </w:p>
    <w:p w:rsidR="00155263" w:rsidRDefault="00155263" w:rsidP="00155263">
      <w:pPr>
        <w:pStyle w:val="ListParagraph"/>
        <w:numPr>
          <w:ilvl w:val="0"/>
          <w:numId w:val="2"/>
        </w:numPr>
      </w:pPr>
      <w:r>
        <w:t>Alder (grupperet)</w:t>
      </w:r>
    </w:p>
    <w:p w:rsidR="00155263" w:rsidRDefault="00155263" w:rsidP="00155263">
      <w:pPr>
        <w:pStyle w:val="ListParagraph"/>
        <w:numPr>
          <w:ilvl w:val="0"/>
          <w:numId w:val="2"/>
        </w:numPr>
      </w:pPr>
      <w:r>
        <w:t>Region</w:t>
      </w:r>
    </w:p>
    <w:p w:rsidR="00155263" w:rsidRDefault="00EA50D2" w:rsidP="00155263">
      <w:pPr>
        <w:pStyle w:val="ListParagraph"/>
        <w:numPr>
          <w:ilvl w:val="0"/>
          <w:numId w:val="2"/>
        </w:numPr>
      </w:pPr>
      <w:r>
        <w:t>Højest afsluttede udda</w:t>
      </w:r>
      <w:r w:rsidR="00155263">
        <w:t>nnelse</w:t>
      </w:r>
    </w:p>
    <w:p w:rsidR="00D577C6" w:rsidRDefault="00D577C6" w:rsidP="00155263">
      <w:pPr>
        <w:pStyle w:val="ListParagraph"/>
        <w:numPr>
          <w:ilvl w:val="0"/>
          <w:numId w:val="2"/>
        </w:numPr>
      </w:pPr>
      <w:r>
        <w:t>Personlig Indkomst (grupperet)</w:t>
      </w:r>
    </w:p>
    <w:p w:rsidR="00626920" w:rsidRDefault="00626920" w:rsidP="00641854">
      <w:pPr>
        <w:pStyle w:val="ListParagraph"/>
        <w:numPr>
          <w:ilvl w:val="0"/>
          <w:numId w:val="2"/>
        </w:numPr>
      </w:pPr>
      <w:r>
        <w:t>Folketingsvalg 2015</w:t>
      </w:r>
      <w:r w:rsidR="00155263">
        <w:t xml:space="preserve"> </w:t>
      </w:r>
    </w:p>
    <w:p w:rsidR="00626920" w:rsidRDefault="00155263" w:rsidP="00626920">
      <w:r w:rsidRPr="00A54566">
        <w:rPr>
          <w:b/>
        </w:rPr>
        <w:t>Vejeeffektivitet:</w:t>
      </w:r>
      <w:r w:rsidR="00DF67E5" w:rsidRPr="00A54566">
        <w:rPr>
          <w:b/>
        </w:rPr>
        <w:t xml:space="preserve"> </w:t>
      </w:r>
      <w:r w:rsidR="009C0B3B">
        <w:t>83,4</w:t>
      </w:r>
      <w:r w:rsidRPr="00A54566">
        <w:t>%</w:t>
      </w:r>
      <w:r w:rsidR="009C0B3B">
        <w:t xml:space="preserve"> (8</w:t>
      </w:r>
      <w:r w:rsidR="00626920" w:rsidRPr="00A54566">
        <w:t xml:space="preserve"> </w:t>
      </w:r>
      <w:proofErr w:type="spellStart"/>
      <w:r w:rsidR="00626920" w:rsidRPr="00A54566">
        <w:t>iterationer</w:t>
      </w:r>
      <w:proofErr w:type="spellEnd"/>
      <w:r w:rsidR="00626920" w:rsidRPr="00A54566">
        <w:t>)</w:t>
      </w:r>
    </w:p>
    <w:p w:rsidR="00CD2ED7" w:rsidRDefault="00626920" w:rsidP="00CD2ED7">
      <w:r w:rsidRPr="00626920">
        <w:rPr>
          <w:b/>
        </w:rPr>
        <w:t>Beregninger</w:t>
      </w:r>
      <w:r>
        <w:rPr>
          <w:b/>
        </w:rPr>
        <w:t xml:space="preserve">: </w:t>
      </w:r>
      <w:r>
        <w:t xml:space="preserve">Databehandling er foretaget i spss på vejet data. Mandattal er beregnet ved </w:t>
      </w:r>
      <w:r w:rsidR="00F24141">
        <w:t>at inkludere alle partier med min. 2% af de angivne stemmer. 175 mandater er fordelt i forhold til den procentvise andel af stemmerne (blandt partier, der når over spærregrænsen)</w:t>
      </w:r>
      <w:r w:rsidR="00105774">
        <w:t>.</w:t>
      </w:r>
    </w:p>
    <w:p w:rsidR="00186A2A" w:rsidRDefault="00186A2A" w:rsidP="00155263">
      <w:r w:rsidRPr="00186A2A">
        <w:rPr>
          <w:b/>
        </w:rPr>
        <w:t>Usikkerhed</w:t>
      </w:r>
      <w:r>
        <w:rPr>
          <w:b/>
        </w:rPr>
        <w:t xml:space="preserve">: </w:t>
      </w:r>
      <w:r>
        <w:t>Data er forbundet med en usikkerhed, som blandt andet er baseret på stikprøvestørrelsen. Usikkerheden på de forskellige %-angivelser fremgår af nedenstående tabel</w:t>
      </w:r>
      <w:r w:rsidR="00A602E4">
        <w:t>, som tager udgangspunkt i en nat. rep</w:t>
      </w:r>
      <w:r>
        <w:t>.</w:t>
      </w:r>
      <w:r w:rsidR="00A602E4">
        <w:t xml:space="preserve"> Population (18+)</w:t>
      </w:r>
    </w:p>
    <w:tbl>
      <w:tblPr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B60823" w:rsidRPr="00BD5F2B" w:rsidTr="00B60823">
        <w:trPr>
          <w:trHeight w:val="454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5%/95%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10%/90%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15%/85%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20%/80%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25%/75%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30%/70%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35%/65%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40%/60%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45%/55%</w:t>
            </w:r>
          </w:p>
        </w:tc>
        <w:tc>
          <w:tcPr>
            <w:tcW w:w="848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sz w:val="18"/>
                <w:lang w:eastAsia="da-DK"/>
              </w:rPr>
              <w:t>50%/50%</w:t>
            </w:r>
          </w:p>
        </w:tc>
      </w:tr>
      <w:tr w:rsidR="0004437C" w:rsidRPr="00BD5F2B" w:rsidTr="00DB7A2C">
        <w:trPr>
          <w:trHeight w:val="178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04437C" w:rsidRPr="00BD5F2B" w:rsidRDefault="0004437C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t>50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E505D7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E505D7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8,3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9,9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12,7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13,2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13,5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13,7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13,8</w:t>
            </w:r>
          </w:p>
        </w:tc>
      </w:tr>
      <w:tr w:rsidR="00B60823" w:rsidRPr="00BD5F2B" w:rsidTr="00DB7A2C">
        <w:trPr>
          <w:trHeight w:val="178"/>
        </w:trPr>
        <w:tc>
          <w:tcPr>
            <w:tcW w:w="587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lang w:eastAsia="da-DK"/>
              </w:rPr>
              <w:t>100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5,9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7,8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8,5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8,9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9,3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9,6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9,8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9,8</w:t>
            </w:r>
          </w:p>
        </w:tc>
      </w:tr>
      <w:tr w:rsidR="0004437C" w:rsidRPr="00BD5F2B" w:rsidTr="00DB7A2C">
        <w:trPr>
          <w:trHeight w:val="182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04437C" w:rsidRPr="00BD5F2B" w:rsidRDefault="0004437C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t>150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3,4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7,3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7,6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7,8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FB794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7,9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8</w:t>
            </w:r>
          </w:p>
        </w:tc>
      </w:tr>
      <w:tr w:rsidR="0004437C" w:rsidRPr="00BD5F2B" w:rsidTr="00DB7A2C">
        <w:trPr>
          <w:trHeight w:val="182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04437C" w:rsidRPr="00BD5F2B" w:rsidRDefault="0004437C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t>200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6,9</w:t>
            </w:r>
          </w:p>
        </w:tc>
      </w:tr>
      <w:tr w:rsidR="0004437C" w:rsidRPr="00BD5F2B" w:rsidTr="00DB7A2C">
        <w:trPr>
          <w:trHeight w:val="182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04437C" w:rsidRPr="00BD5F2B" w:rsidRDefault="0004437C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t>250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3,7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6,2</w:t>
            </w:r>
          </w:p>
        </w:tc>
      </w:tr>
      <w:tr w:rsidR="0004437C" w:rsidRPr="00BD5F2B" w:rsidTr="00DB7A2C">
        <w:trPr>
          <w:trHeight w:val="182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04437C" w:rsidRPr="00BD5F2B" w:rsidRDefault="0004437C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t>300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3,3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4,9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04437C" w:rsidRPr="00BD5F2B" w:rsidRDefault="00B031B1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5,6</w:t>
            </w:r>
          </w:p>
        </w:tc>
      </w:tr>
      <w:tr w:rsidR="00B60823" w:rsidRPr="00BD5F2B" w:rsidTr="00DB7A2C">
        <w:trPr>
          <w:trHeight w:val="182"/>
        </w:trPr>
        <w:tc>
          <w:tcPr>
            <w:tcW w:w="587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lang w:eastAsia="da-DK"/>
              </w:rPr>
              <w:t>500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1,9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4,2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4,4</w:t>
            </w:r>
          </w:p>
        </w:tc>
      </w:tr>
      <w:tr w:rsidR="00B60823" w:rsidRPr="00BD5F2B" w:rsidTr="00DB7A2C">
        <w:trPr>
          <w:trHeight w:val="200"/>
        </w:trPr>
        <w:tc>
          <w:tcPr>
            <w:tcW w:w="587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lang w:eastAsia="da-DK"/>
              </w:rPr>
              <w:t>1000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1,4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2,9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3,6</w:t>
            </w:r>
          </w:p>
        </w:tc>
      </w:tr>
      <w:tr w:rsidR="00D577C6" w:rsidRPr="00BD5F2B" w:rsidTr="00DB7A2C">
        <w:trPr>
          <w:trHeight w:val="190"/>
        </w:trPr>
        <w:tc>
          <w:tcPr>
            <w:tcW w:w="587" w:type="dxa"/>
            <w:shd w:val="clear" w:color="auto" w:fill="70AD47" w:themeFill="accent6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>
              <w:rPr>
                <w:rFonts w:eastAsia="Times New Roman" w:cs="Times New Roman"/>
                <w:color w:val="FFFFFF" w:themeColor="background1"/>
                <w:lang w:eastAsia="da-DK"/>
              </w:rPr>
              <w:lastRenderedPageBreak/>
              <w:t>1200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1,2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1,7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D577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2,6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2,7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D577C6" w:rsidRPr="00BD5F2B" w:rsidRDefault="00D577C6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>
              <w:rPr>
                <w:rFonts w:eastAsia="Times New Roman" w:cs="Times New Roman"/>
                <w:color w:val="000000"/>
                <w:lang w:eastAsia="da-DK"/>
              </w:rPr>
              <w:t>2,8</w:t>
            </w:r>
          </w:p>
        </w:tc>
      </w:tr>
      <w:tr w:rsidR="00B60823" w:rsidRPr="00BD5F2B" w:rsidTr="001F6DA4">
        <w:trPr>
          <w:trHeight w:val="70"/>
        </w:trPr>
        <w:tc>
          <w:tcPr>
            <w:tcW w:w="587" w:type="dxa"/>
            <w:shd w:val="clear" w:color="auto" w:fill="70AD47" w:themeFill="accent6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BD5F2B">
              <w:rPr>
                <w:rFonts w:eastAsia="Times New Roman" w:cs="Times New Roman"/>
                <w:color w:val="FFFFFF" w:themeColor="background1"/>
                <w:lang w:eastAsia="da-DK"/>
              </w:rPr>
              <w:t>1500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1,1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1,5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1,8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2,4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2,5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  <w:hideMark/>
          </w:tcPr>
          <w:p w:rsidR="00BD5F2B" w:rsidRPr="00BD5F2B" w:rsidRDefault="00BD5F2B" w:rsidP="00B608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da-DK"/>
              </w:rPr>
            </w:pPr>
            <w:r w:rsidRPr="00BD5F2B">
              <w:rPr>
                <w:rFonts w:eastAsia="Times New Roman" w:cs="Times New Roman"/>
                <w:color w:val="000000"/>
                <w:lang w:eastAsia="da-DK"/>
              </w:rPr>
              <w:t>2,5</w:t>
            </w:r>
          </w:p>
        </w:tc>
      </w:tr>
    </w:tbl>
    <w:p w:rsidR="00BD5F2B" w:rsidRDefault="00B60823" w:rsidP="00B60823"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0765D" wp14:editId="25C9BC62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857875" cy="666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A89" w:rsidRPr="00B60823" w:rsidRDefault="00903A89">
                            <w:pPr>
                              <w:rPr>
                                <w:sz w:val="20"/>
                              </w:rPr>
                            </w:pPr>
                            <w:r w:rsidRPr="00B60823">
                              <w:rPr>
                                <w:sz w:val="20"/>
                              </w:rPr>
                              <w:t>Tallene angiver hvor mange procentpoints +/-, der skal tages forbehold for</w:t>
                            </w:r>
                            <w:r w:rsidR="00A602E4" w:rsidRPr="00B60823">
                              <w:rPr>
                                <w:sz w:val="20"/>
                              </w:rPr>
                              <w:t xml:space="preserve"> i aflæsningen af resultatet</w:t>
                            </w:r>
                            <w:r w:rsidRPr="00B60823">
                              <w:rPr>
                                <w:sz w:val="20"/>
                              </w:rPr>
                              <w:t xml:space="preserve"> (på et 95% sandsynlighedsniveau). 50% vil således </w:t>
                            </w:r>
                            <w:r w:rsidR="00A602E4" w:rsidRPr="00B60823">
                              <w:rPr>
                                <w:sz w:val="20"/>
                              </w:rPr>
                              <w:t>betyde, at resultatet er</w:t>
                            </w:r>
                            <w:r w:rsidR="00D577C6">
                              <w:rPr>
                                <w:sz w:val="20"/>
                              </w:rPr>
                              <w:t xml:space="preserve"> mellem 47,2% og 52,8 % i en stikprøve på 1.2</w:t>
                            </w:r>
                            <w:r w:rsidRPr="00B60823">
                              <w:rPr>
                                <w:sz w:val="20"/>
                              </w:rPr>
                              <w:t>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07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461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">
                <v:textbox>
                  <w:txbxContent>
                    <w:p w:rsidR="00903A89" w:rsidRPr="00B60823" w:rsidRDefault="00903A89">
                      <w:pPr>
                        <w:rPr>
                          <w:sz w:val="20"/>
                        </w:rPr>
                      </w:pPr>
                      <w:r w:rsidRPr="00B60823">
                        <w:rPr>
                          <w:sz w:val="20"/>
                        </w:rPr>
                        <w:t>Tallene angiver hvor mange procentpoints +/-, der skal tages forbehold for</w:t>
                      </w:r>
                      <w:r w:rsidR="00A602E4" w:rsidRPr="00B60823">
                        <w:rPr>
                          <w:sz w:val="20"/>
                        </w:rPr>
                        <w:t xml:space="preserve"> i aflæsningen af resultatet</w:t>
                      </w:r>
                      <w:r w:rsidRPr="00B60823">
                        <w:rPr>
                          <w:sz w:val="20"/>
                        </w:rPr>
                        <w:t xml:space="preserve"> (på et 95% sandsynlighedsniveau). 50% vil således </w:t>
                      </w:r>
                      <w:r w:rsidR="00A602E4" w:rsidRPr="00B60823">
                        <w:rPr>
                          <w:sz w:val="20"/>
                        </w:rPr>
                        <w:t>betyde, at resultatet er</w:t>
                      </w:r>
                      <w:r w:rsidR="00D577C6">
                        <w:rPr>
                          <w:sz w:val="20"/>
                        </w:rPr>
                        <w:t xml:space="preserve"> mellem 47,2% og 52,8 % i en stikprøve på 1.2</w:t>
                      </w:r>
                      <w:r w:rsidRPr="00B60823">
                        <w:rPr>
                          <w:sz w:val="20"/>
                        </w:rPr>
                        <w:t>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747"/>
    <w:multiLevelType w:val="hybridMultilevel"/>
    <w:tmpl w:val="19DED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566CC"/>
    <w:multiLevelType w:val="hybridMultilevel"/>
    <w:tmpl w:val="CE4497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63"/>
    <w:rsid w:val="0004437C"/>
    <w:rsid w:val="000530C0"/>
    <w:rsid w:val="000F2401"/>
    <w:rsid w:val="00105774"/>
    <w:rsid w:val="00155263"/>
    <w:rsid w:val="00186A2A"/>
    <w:rsid w:val="001B1879"/>
    <w:rsid w:val="001F5BB8"/>
    <w:rsid w:val="001F6DA4"/>
    <w:rsid w:val="002971B3"/>
    <w:rsid w:val="00317984"/>
    <w:rsid w:val="0044031E"/>
    <w:rsid w:val="00486C26"/>
    <w:rsid w:val="005171E2"/>
    <w:rsid w:val="00526419"/>
    <w:rsid w:val="00626920"/>
    <w:rsid w:val="006708B6"/>
    <w:rsid w:val="00673FCF"/>
    <w:rsid w:val="006876D7"/>
    <w:rsid w:val="00694800"/>
    <w:rsid w:val="00696F92"/>
    <w:rsid w:val="006A1826"/>
    <w:rsid w:val="007365BA"/>
    <w:rsid w:val="007B2F02"/>
    <w:rsid w:val="007F4A6C"/>
    <w:rsid w:val="00903A89"/>
    <w:rsid w:val="00955F40"/>
    <w:rsid w:val="009779E6"/>
    <w:rsid w:val="00980DDB"/>
    <w:rsid w:val="009C0B3B"/>
    <w:rsid w:val="00A54566"/>
    <w:rsid w:val="00A602E4"/>
    <w:rsid w:val="00A74714"/>
    <w:rsid w:val="00A77B55"/>
    <w:rsid w:val="00AB70EF"/>
    <w:rsid w:val="00AC2F1F"/>
    <w:rsid w:val="00B031B1"/>
    <w:rsid w:val="00B60823"/>
    <w:rsid w:val="00B8062A"/>
    <w:rsid w:val="00B95964"/>
    <w:rsid w:val="00BD5F2B"/>
    <w:rsid w:val="00BF0755"/>
    <w:rsid w:val="00C510B8"/>
    <w:rsid w:val="00C833BC"/>
    <w:rsid w:val="00CD2ED7"/>
    <w:rsid w:val="00D2064B"/>
    <w:rsid w:val="00D577C6"/>
    <w:rsid w:val="00DB7A2C"/>
    <w:rsid w:val="00DF67E5"/>
    <w:rsid w:val="00E20E02"/>
    <w:rsid w:val="00E505D7"/>
    <w:rsid w:val="00EA50D2"/>
    <w:rsid w:val="00F24141"/>
    <w:rsid w:val="00F443CA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F451D-4D55-4551-A4B5-92B2715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Norstat AS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Froh Korsgaard Møller</dc:creator>
  <cp:lastModifiedBy>Rikke Froh Korsgaard Møller</cp:lastModifiedBy>
  <cp:revision>4</cp:revision>
  <dcterms:created xsi:type="dcterms:W3CDTF">2018-11-23T13:32:00Z</dcterms:created>
  <dcterms:modified xsi:type="dcterms:W3CDTF">2018-12-13T09:08:00Z</dcterms:modified>
</cp:coreProperties>
</file>